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4FD493DE"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3D41C3">
        <w:rPr>
          <w:rFonts w:ascii="Arial" w:hAnsi="Arial" w:cs="Arial"/>
          <w:lang w:val="en-US"/>
        </w:rPr>
        <w:t xml:space="preserve"> #80bis</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6F56F5">
        <w:rPr>
          <w:rFonts w:ascii="Arial" w:hAnsi="Arial" w:cs="Arial"/>
          <w:szCs w:val="24"/>
          <w:lang w:val="en-US"/>
        </w:rPr>
        <w:t>1460</w:t>
      </w:r>
    </w:p>
    <w:p w14:paraId="231ECCBD" w14:textId="5EA8DB3E" w:rsidR="00FA20F7" w:rsidRPr="00077CF3" w:rsidRDefault="003D41C3" w:rsidP="00FA20F7">
      <w:pPr>
        <w:pStyle w:val="3GPPHeader"/>
        <w:rPr>
          <w:rFonts w:ascii="Arial" w:hAnsi="Arial" w:cs="Arial"/>
          <w:lang w:val="en-US"/>
        </w:rPr>
      </w:pPr>
      <w:r>
        <w:rPr>
          <w:rFonts w:ascii="Arial" w:hAnsi="Arial" w:cs="Arial"/>
          <w:lang w:val="en-US"/>
        </w:rPr>
        <w:t>Belgrade</w:t>
      </w:r>
      <w:r w:rsidR="00752C50" w:rsidRPr="00077CF3">
        <w:rPr>
          <w:rFonts w:ascii="Arial" w:hAnsi="Arial" w:cs="Arial"/>
          <w:lang w:val="en-US"/>
        </w:rPr>
        <w:t xml:space="preserve">, </w:t>
      </w:r>
      <w:r>
        <w:rPr>
          <w:rFonts w:ascii="Arial" w:hAnsi="Arial" w:cs="Arial"/>
          <w:lang w:val="en-US"/>
        </w:rPr>
        <w:t>Serbia</w:t>
      </w:r>
      <w:r w:rsidR="00752C50" w:rsidRPr="00077CF3">
        <w:rPr>
          <w:rFonts w:ascii="Arial" w:hAnsi="Arial" w:cs="Arial"/>
          <w:lang w:val="en-US"/>
        </w:rPr>
        <w:t xml:space="preserve">, </w:t>
      </w:r>
      <w:r>
        <w:rPr>
          <w:rFonts w:ascii="Arial" w:hAnsi="Arial" w:cs="Arial"/>
          <w:lang w:val="en-US"/>
        </w:rPr>
        <w:t>20</w:t>
      </w:r>
      <w:r w:rsidRPr="003D41C3">
        <w:rPr>
          <w:rFonts w:ascii="Arial" w:hAnsi="Arial" w:cs="Arial"/>
          <w:vertAlign w:val="superscript"/>
          <w:lang w:val="en-US"/>
        </w:rPr>
        <w:t>th</w:t>
      </w:r>
      <w:r>
        <w:rPr>
          <w:rFonts w:ascii="Arial" w:hAnsi="Arial" w:cs="Arial"/>
          <w:lang w:val="en-US"/>
        </w:rPr>
        <w:t xml:space="preserve"> – 24</w:t>
      </w:r>
      <w:r w:rsidRPr="003D41C3">
        <w:rPr>
          <w:rFonts w:ascii="Arial" w:hAnsi="Arial" w:cs="Arial"/>
          <w:vertAlign w:val="superscript"/>
          <w:lang w:val="en-US"/>
        </w:rPr>
        <w:t>th</w:t>
      </w:r>
      <w:r>
        <w:rPr>
          <w:rFonts w:ascii="Arial" w:hAnsi="Arial" w:cs="Arial"/>
          <w:lang w:val="en-US"/>
        </w:rPr>
        <w:t xml:space="preserve"> April </w:t>
      </w:r>
      <w:r w:rsidR="00752C50" w:rsidRPr="00077CF3">
        <w:rPr>
          <w:rFonts w:ascii="Arial" w:hAnsi="Arial" w:cs="Arial"/>
          <w:lang w:val="en-US"/>
        </w:rPr>
        <w:t>2015</w:t>
      </w:r>
    </w:p>
    <w:p w14:paraId="6FA141D4" w14:textId="2ACE711D"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6F56F5">
        <w:rPr>
          <w:rFonts w:cs="Arial"/>
          <w:b/>
          <w:bCs/>
          <w:sz w:val="24"/>
          <w:lang w:val="en-US"/>
        </w:rPr>
        <w:t>7.2.4.2</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69743316"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DF0C4E">
        <w:rPr>
          <w:rFonts w:ascii="Arial" w:hAnsi="Arial" w:cs="Arial"/>
          <w:b/>
          <w:bCs/>
          <w:sz w:val="24"/>
          <w:lang w:val="en-US"/>
        </w:rPr>
        <w:t>DL transmission for LAA</w:t>
      </w:r>
    </w:p>
    <w:p w14:paraId="20F2A3ED" w14:textId="0E18106F"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076974">
      <w:pPr>
        <w:pStyle w:val="Heading1"/>
        <w:rPr>
          <w:lang w:val="en-US"/>
        </w:rPr>
      </w:pPr>
      <w:r w:rsidRPr="00077CF3">
        <w:rPr>
          <w:lang w:val="en-US"/>
        </w:rPr>
        <w:t>Introduction</w:t>
      </w:r>
    </w:p>
    <w:p w14:paraId="52411902" w14:textId="29CE0B59" w:rsidR="003D41C3" w:rsidRPr="00076974" w:rsidRDefault="005F193F" w:rsidP="003C7B15">
      <w:pPr>
        <w:rPr>
          <w:sz w:val="20"/>
        </w:rPr>
      </w:pPr>
      <w:r>
        <w:rPr>
          <w:sz w:val="20"/>
          <w:lang w:val="en-US"/>
        </w:rPr>
        <w:t xml:space="preserve">In this contribution we provide our views and recommendations on </w:t>
      </w:r>
      <w:r w:rsidR="003C7B15">
        <w:rPr>
          <w:sz w:val="20"/>
          <w:lang w:val="en-US"/>
        </w:rPr>
        <w:t xml:space="preserve">the </w:t>
      </w:r>
      <w:r w:rsidR="00076974">
        <w:rPr>
          <w:sz w:val="20"/>
          <w:lang w:val="en-US"/>
        </w:rPr>
        <w:t xml:space="preserve">principles </w:t>
      </w:r>
      <w:r w:rsidR="00B46016">
        <w:rPr>
          <w:sz w:val="20"/>
          <w:lang w:val="en-US"/>
        </w:rPr>
        <w:t xml:space="preserve">of </w:t>
      </w:r>
      <w:r>
        <w:rPr>
          <w:sz w:val="20"/>
          <w:lang w:val="en-US"/>
        </w:rPr>
        <w:t xml:space="preserve">LAA </w:t>
      </w:r>
      <w:r w:rsidR="003C7B15">
        <w:rPr>
          <w:sz w:val="20"/>
          <w:lang w:val="en-US"/>
        </w:rPr>
        <w:t xml:space="preserve">DL </w:t>
      </w:r>
      <w:r>
        <w:rPr>
          <w:sz w:val="20"/>
          <w:lang w:val="en-US"/>
        </w:rPr>
        <w:t>transmission</w:t>
      </w:r>
      <w:r w:rsidR="003C7B15">
        <w:rPr>
          <w:sz w:val="20"/>
          <w:lang w:val="en-US"/>
        </w:rPr>
        <w:t>.</w:t>
      </w:r>
    </w:p>
    <w:p w14:paraId="48D94537" w14:textId="77777777" w:rsidR="003D41C3" w:rsidRPr="00B46016" w:rsidRDefault="003D41C3" w:rsidP="00085A01">
      <w:pPr>
        <w:rPr>
          <w:sz w:val="20"/>
        </w:rPr>
      </w:pPr>
    </w:p>
    <w:p w14:paraId="411E7BBD" w14:textId="785CDEB6" w:rsidR="00085A01" w:rsidRPr="00077CF3" w:rsidRDefault="00076974" w:rsidP="00076974">
      <w:pPr>
        <w:pStyle w:val="Heading1"/>
        <w:rPr>
          <w:lang w:val="en-US"/>
        </w:rPr>
      </w:pPr>
      <w:r>
        <w:rPr>
          <w:lang w:val="en-US"/>
        </w:rPr>
        <w:t>Discussion</w:t>
      </w:r>
    </w:p>
    <w:p w14:paraId="04069388" w14:textId="68B3FEFF" w:rsidR="003C7B15" w:rsidRPr="003C7B15" w:rsidRDefault="003C7B15" w:rsidP="003C7B15">
      <w:pPr>
        <w:spacing w:after="180"/>
        <w:rPr>
          <w:rFonts w:eastAsia="Batang"/>
          <w:sz w:val="20"/>
          <w:lang w:val="en-US" w:eastAsia="sv-SE"/>
        </w:rPr>
      </w:pPr>
      <w:r w:rsidRPr="003C7B15">
        <w:rPr>
          <w:rFonts w:eastAsia="Batang"/>
          <w:sz w:val="20"/>
          <w:lang w:val="en-US" w:eastAsia="sv-SE"/>
        </w:rPr>
        <w:t>In our view, the LTE LAA DL should operate according to requirements impo</w:t>
      </w:r>
      <w:r>
        <w:rPr>
          <w:rFonts w:eastAsia="Batang"/>
          <w:sz w:val="20"/>
          <w:lang w:val="en-US" w:eastAsia="sv-SE"/>
        </w:rPr>
        <w:t>sed onto Load-Based-Equipment [8</w:t>
      </w:r>
      <w:r w:rsidRPr="003C7B15">
        <w:rPr>
          <w:rFonts w:eastAsia="Batang"/>
          <w:sz w:val="20"/>
          <w:lang w:val="en-US" w:eastAsia="sv-SE"/>
        </w:rPr>
        <w:t>]. Listen-Before-Talk (LBT) / Clear-Channel Assessment (CCA) and Discontinuous Transmission (DTX) are the two primary coexistence mechanisms for Wi-Fi and LAA.</w:t>
      </w:r>
    </w:p>
    <w:p w14:paraId="0B56730B" w14:textId="5C4A7DF6" w:rsidR="003C7B15" w:rsidRPr="003C7B15" w:rsidRDefault="003C7B15" w:rsidP="003C7B15">
      <w:pPr>
        <w:spacing w:after="180"/>
        <w:rPr>
          <w:rFonts w:eastAsia="Batang"/>
          <w:sz w:val="20"/>
          <w:lang w:val="en-US" w:eastAsia="sv-SE"/>
        </w:rPr>
      </w:pPr>
      <w:r w:rsidRPr="003C7B15">
        <w:rPr>
          <w:rFonts w:eastAsia="Batang"/>
          <w:sz w:val="20"/>
          <w:lang w:val="en-US" w:eastAsia="sv-SE"/>
        </w:rPr>
        <w:t xml:space="preserve">In addition, a DL Transmit Power Control mechanism to support TPC requirements and a Channel Agility mechanism to support DFS requirements are needed for LTE LAA operation. Channel Agility will also allow for </w:t>
      </w:r>
      <w:r>
        <w:rPr>
          <w:rFonts w:eastAsia="Batang"/>
          <w:sz w:val="20"/>
          <w:lang w:val="en-US" w:eastAsia="sv-SE"/>
        </w:rPr>
        <w:t xml:space="preserve">slow </w:t>
      </w:r>
      <w:r w:rsidRPr="003C7B15">
        <w:rPr>
          <w:rFonts w:eastAsia="Batang"/>
          <w:sz w:val="20"/>
          <w:lang w:val="en-US" w:eastAsia="sv-SE"/>
        </w:rPr>
        <w:t>Carrier Selection by the eNB during LAA operation.</w:t>
      </w:r>
    </w:p>
    <w:p w14:paraId="0E882E0A" w14:textId="77777777" w:rsidR="003C7B15" w:rsidRPr="003C7B15" w:rsidRDefault="003C7B15" w:rsidP="003C7B15">
      <w:pPr>
        <w:spacing w:after="180"/>
        <w:rPr>
          <w:rFonts w:eastAsia="Batang"/>
          <w:sz w:val="20"/>
          <w:lang w:val="en-US" w:eastAsia="sv-SE"/>
        </w:rPr>
      </w:pPr>
      <w:r w:rsidRPr="003C7B15">
        <w:rPr>
          <w:rFonts w:eastAsia="Batang"/>
          <w:sz w:val="20"/>
          <w:lang w:val="en-US" w:eastAsia="sv-SE"/>
        </w:rPr>
        <w:t>For the example of LAA DL-only mode of operation in Figure 1, the eNB performs LBT/CCA over the SCell transmission bandwidth followed by an extended CCA period prior to DL scheduling [4]. Only the eNB performs a L1 channel energy measurement for the purpose of initial CCA and extended CCA during the random backoff period.</w:t>
      </w:r>
    </w:p>
    <w:p w14:paraId="195ADC39" w14:textId="77777777" w:rsidR="003C7B15" w:rsidRPr="003C7B15" w:rsidRDefault="003C7B15" w:rsidP="003C7B15">
      <w:pPr>
        <w:spacing w:after="180"/>
        <w:rPr>
          <w:rFonts w:eastAsia="Batang"/>
          <w:sz w:val="20"/>
          <w:lang w:val="en-US" w:eastAsia="sv-SE"/>
        </w:rPr>
      </w:pPr>
      <w:r w:rsidRPr="003C7B15">
        <w:rPr>
          <w:rFonts w:eastAsia="Batang"/>
          <w:sz w:val="20"/>
          <w:lang w:val="en-US" w:eastAsia="sv-SE"/>
        </w:rPr>
        <w:t>Once the channel is acquired, the LAA eNB can then schedule LAA DL transmissions on the SCell for a duration of several subframes. A maximum transmission duration limit is set however, i.e. the eNB must stop transmitting in the DL and free the channel for other devices thereafter.</w:t>
      </w:r>
    </w:p>
    <w:p w14:paraId="02096006" w14:textId="77777777" w:rsidR="003C7B15" w:rsidRPr="003C7B15" w:rsidRDefault="003C7B15" w:rsidP="003C7B15">
      <w:pPr>
        <w:spacing w:after="180"/>
        <w:rPr>
          <w:rFonts w:eastAsia="Batang"/>
          <w:sz w:val="20"/>
          <w:lang w:val="en-US" w:eastAsia="sv-SE"/>
        </w:rPr>
      </w:pPr>
    </w:p>
    <w:p w14:paraId="3CB5716A" w14:textId="12CA2617" w:rsidR="003C7B15" w:rsidRPr="003C7B15" w:rsidRDefault="003C7B15" w:rsidP="003C7B15">
      <w:pPr>
        <w:spacing w:after="180"/>
        <w:jc w:val="center"/>
        <w:rPr>
          <w:rFonts w:eastAsia="Batang"/>
          <w:sz w:val="20"/>
          <w:lang w:val="en-US" w:eastAsia="sv-SE"/>
        </w:rPr>
      </w:pPr>
      <w:r w:rsidRPr="003C7B15">
        <w:rPr>
          <w:rFonts w:eastAsia="Batang"/>
          <w:noProof/>
          <w:sz w:val="20"/>
          <w:lang w:val="en-US" w:eastAsia="en-US"/>
        </w:rPr>
        <w:drawing>
          <wp:inline distT="0" distB="0" distL="0" distR="0" wp14:anchorId="0EB8B9CF" wp14:editId="63CEE23D">
            <wp:extent cx="5105400" cy="1847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05400" cy="1847850"/>
                    </a:xfrm>
                    <a:prstGeom prst="rect">
                      <a:avLst/>
                    </a:prstGeom>
                    <a:noFill/>
                    <a:ln>
                      <a:noFill/>
                    </a:ln>
                  </pic:spPr>
                </pic:pic>
              </a:graphicData>
            </a:graphic>
          </wp:inline>
        </w:drawing>
      </w:r>
    </w:p>
    <w:p w14:paraId="17CCC1EF" w14:textId="77777777" w:rsidR="003C7B15" w:rsidRPr="003C7B15" w:rsidRDefault="003C7B15" w:rsidP="003C7B15">
      <w:pPr>
        <w:spacing w:after="180"/>
        <w:jc w:val="center"/>
        <w:rPr>
          <w:rFonts w:eastAsia="Batang"/>
          <w:b/>
          <w:bCs/>
          <w:sz w:val="20"/>
          <w:lang w:val="en-US" w:eastAsia="sv-SE"/>
        </w:rPr>
      </w:pPr>
      <w:r w:rsidRPr="003C7B15">
        <w:rPr>
          <w:rFonts w:eastAsia="Batang"/>
          <w:b/>
          <w:bCs/>
          <w:sz w:val="20"/>
          <w:lang w:val="en-US" w:eastAsia="sv-SE"/>
        </w:rPr>
        <w:t>Figure 1: LTE LAA DL-only operation with LBT/CCA and DTX</w:t>
      </w:r>
    </w:p>
    <w:p w14:paraId="22E13E52" w14:textId="77777777" w:rsidR="00705639" w:rsidRDefault="00705639" w:rsidP="002B632B">
      <w:pPr>
        <w:spacing w:after="180"/>
        <w:rPr>
          <w:rFonts w:eastAsia="Batang"/>
          <w:sz w:val="20"/>
          <w:lang w:val="en-US" w:eastAsia="sv-SE"/>
        </w:rPr>
      </w:pPr>
    </w:p>
    <w:p w14:paraId="1529B010" w14:textId="770EA8AB" w:rsidR="002B632B" w:rsidRPr="003C7B15" w:rsidRDefault="002B632B" w:rsidP="002B632B">
      <w:pPr>
        <w:spacing w:after="180"/>
        <w:rPr>
          <w:rFonts w:eastAsia="Batang"/>
          <w:sz w:val="20"/>
          <w:lang w:val="en-US" w:eastAsia="sv-SE"/>
        </w:rPr>
      </w:pPr>
      <w:r w:rsidRPr="003C7B15">
        <w:rPr>
          <w:rFonts w:eastAsia="Batang"/>
          <w:sz w:val="20"/>
          <w:lang w:val="en-US" w:eastAsia="sv-SE"/>
        </w:rPr>
        <w:t xml:space="preserve">Our evaluation results [2][3] show that the eNB side implementation for </w:t>
      </w:r>
      <w:r>
        <w:rPr>
          <w:rFonts w:eastAsia="Batang"/>
          <w:sz w:val="20"/>
          <w:lang w:val="en-US" w:eastAsia="sv-SE"/>
        </w:rPr>
        <w:t xml:space="preserve">DL-only and UL+DL </w:t>
      </w:r>
      <w:r w:rsidRPr="003C7B15">
        <w:rPr>
          <w:rFonts w:eastAsia="Batang"/>
          <w:sz w:val="20"/>
          <w:lang w:val="en-US" w:eastAsia="sv-SE"/>
        </w:rPr>
        <w:t xml:space="preserve">LAA performs well for low and medium loads when Category 3 </w:t>
      </w:r>
      <w:r w:rsidR="00B46016">
        <w:rPr>
          <w:rFonts w:eastAsia="Batang"/>
          <w:sz w:val="20"/>
          <w:lang w:val="en-US" w:eastAsia="sv-SE"/>
        </w:rPr>
        <w:t xml:space="preserve">channel access </w:t>
      </w:r>
      <w:r w:rsidRPr="003C7B15">
        <w:rPr>
          <w:rFonts w:eastAsia="Batang"/>
          <w:sz w:val="20"/>
          <w:lang w:val="en-US" w:eastAsia="sv-SE"/>
        </w:rPr>
        <w:t xml:space="preserve">schemes </w:t>
      </w:r>
      <w:r w:rsidR="00B46016">
        <w:rPr>
          <w:rFonts w:eastAsia="Batang"/>
          <w:sz w:val="20"/>
          <w:lang w:val="en-US" w:eastAsia="sv-SE"/>
        </w:rPr>
        <w:t xml:space="preserve">(LBT with random backoff with fixed size of the contention window) </w:t>
      </w:r>
      <w:r w:rsidRPr="003C7B15">
        <w:rPr>
          <w:rFonts w:eastAsia="Batang"/>
          <w:sz w:val="20"/>
          <w:lang w:val="en-US" w:eastAsia="sv-SE"/>
        </w:rPr>
        <w:t>are used.</w:t>
      </w:r>
    </w:p>
    <w:p w14:paraId="7B540277" w14:textId="6086A800" w:rsidR="002B632B" w:rsidRPr="003C7B15" w:rsidRDefault="002B632B" w:rsidP="002B632B">
      <w:pPr>
        <w:spacing w:after="180"/>
        <w:rPr>
          <w:rFonts w:eastAsia="Batang"/>
          <w:sz w:val="20"/>
          <w:lang w:val="en-US" w:eastAsia="sv-SE"/>
        </w:rPr>
      </w:pPr>
      <w:r w:rsidRPr="003C7B15">
        <w:rPr>
          <w:rFonts w:eastAsia="Batang"/>
          <w:sz w:val="20"/>
          <w:lang w:val="en-US" w:eastAsia="sv-SE"/>
        </w:rPr>
        <w:t xml:space="preserve">For the case of high load such as a single 5 GHz frequency channel with many transmitters, </w:t>
      </w:r>
      <w:r w:rsidR="00B46016">
        <w:rPr>
          <w:rFonts w:eastAsia="Batang"/>
          <w:sz w:val="20"/>
          <w:lang w:val="en-US" w:eastAsia="sv-SE"/>
        </w:rPr>
        <w:t xml:space="preserve">Category </w:t>
      </w:r>
      <w:r w:rsidRPr="003C7B15">
        <w:rPr>
          <w:rFonts w:eastAsia="Batang"/>
          <w:sz w:val="20"/>
          <w:lang w:val="en-US" w:eastAsia="sv-SE"/>
        </w:rPr>
        <w:t xml:space="preserve">3 </w:t>
      </w:r>
      <w:r w:rsidR="00B46016">
        <w:rPr>
          <w:rFonts w:eastAsia="Batang"/>
          <w:sz w:val="20"/>
          <w:lang w:val="en-US" w:eastAsia="sv-SE"/>
        </w:rPr>
        <w:t xml:space="preserve">channel access </w:t>
      </w:r>
      <w:r w:rsidRPr="003C7B15">
        <w:rPr>
          <w:rFonts w:eastAsia="Batang"/>
          <w:sz w:val="20"/>
          <w:lang w:val="en-US" w:eastAsia="sv-SE"/>
        </w:rPr>
        <w:t xml:space="preserve">schemes and DTX with a fixed maximum transmission durations alone are not sufficient to prevent starving of the Wi-Fi </w:t>
      </w:r>
      <w:r w:rsidRPr="003C7B15">
        <w:rPr>
          <w:rFonts w:eastAsia="Batang"/>
          <w:sz w:val="20"/>
          <w:lang w:val="en-US" w:eastAsia="sv-SE"/>
        </w:rPr>
        <w:lastRenderedPageBreak/>
        <w:t>APs by LAA. It is necessary to implement functionality in LTE LAA eNBs which allow</w:t>
      </w:r>
      <w:r>
        <w:rPr>
          <w:rFonts w:eastAsia="Batang"/>
          <w:sz w:val="20"/>
          <w:lang w:val="en-US" w:eastAsia="sv-SE"/>
        </w:rPr>
        <w:t>s</w:t>
      </w:r>
      <w:r w:rsidRPr="003C7B15">
        <w:rPr>
          <w:rFonts w:eastAsia="Batang"/>
          <w:sz w:val="20"/>
          <w:lang w:val="en-US" w:eastAsia="sv-SE"/>
        </w:rPr>
        <w:t xml:space="preserve"> to adjust </w:t>
      </w:r>
      <w:r>
        <w:rPr>
          <w:rFonts w:eastAsia="Batang"/>
          <w:sz w:val="20"/>
          <w:lang w:val="en-US" w:eastAsia="sv-SE"/>
        </w:rPr>
        <w:t xml:space="preserve">actual </w:t>
      </w:r>
      <w:r w:rsidRPr="003C7B15">
        <w:rPr>
          <w:rFonts w:eastAsia="Batang"/>
          <w:sz w:val="20"/>
          <w:lang w:val="en-US" w:eastAsia="sv-SE"/>
        </w:rPr>
        <w:t xml:space="preserve">LAA channel usage ratios and </w:t>
      </w:r>
      <w:r>
        <w:rPr>
          <w:rFonts w:eastAsia="Batang"/>
          <w:sz w:val="20"/>
          <w:lang w:val="en-US" w:eastAsia="sv-SE"/>
        </w:rPr>
        <w:t xml:space="preserve">claimed </w:t>
      </w:r>
      <w:r w:rsidRPr="003C7B15">
        <w:rPr>
          <w:rFonts w:eastAsia="Batang"/>
          <w:sz w:val="20"/>
          <w:lang w:val="en-US" w:eastAsia="sv-SE"/>
        </w:rPr>
        <w:t>air time to the observed channel loads including the Wi-Fi neighbor BSSs on a channel.</w:t>
      </w:r>
    </w:p>
    <w:p w14:paraId="60EF9952" w14:textId="68A0A9D9" w:rsidR="002B632B" w:rsidRPr="003C7B15" w:rsidRDefault="002B632B" w:rsidP="002B632B">
      <w:pPr>
        <w:spacing w:after="180"/>
        <w:rPr>
          <w:rFonts w:eastAsia="Batang"/>
          <w:sz w:val="20"/>
          <w:lang w:val="en-US" w:eastAsia="sv-SE"/>
        </w:rPr>
      </w:pPr>
      <w:r w:rsidRPr="003C7B15">
        <w:rPr>
          <w:rFonts w:eastAsia="Batang"/>
          <w:sz w:val="20"/>
          <w:lang w:val="en-US" w:eastAsia="sv-SE"/>
        </w:rPr>
        <w:t>This can be done by adjusting the lengths of individual LAA TXOPs and by adjusting the number of channel access attempts by the</w:t>
      </w:r>
      <w:r w:rsidR="00B46016">
        <w:rPr>
          <w:rFonts w:eastAsia="Batang"/>
          <w:sz w:val="20"/>
          <w:lang w:val="en-US" w:eastAsia="sv-SE"/>
        </w:rPr>
        <w:t xml:space="preserve"> LAA eNB. The mandated use of a</w:t>
      </w:r>
      <w:r w:rsidRPr="003C7B15">
        <w:rPr>
          <w:rFonts w:eastAsia="Batang"/>
          <w:sz w:val="20"/>
          <w:lang w:val="en-US" w:eastAsia="sv-SE"/>
        </w:rPr>
        <w:t xml:space="preserve"> Category 4 </w:t>
      </w:r>
      <w:r w:rsidR="00B46016">
        <w:rPr>
          <w:rFonts w:eastAsia="Batang"/>
          <w:sz w:val="20"/>
          <w:lang w:val="en-US" w:eastAsia="sv-SE"/>
        </w:rPr>
        <w:t xml:space="preserve">channel access </w:t>
      </w:r>
      <w:r w:rsidRPr="003C7B15">
        <w:rPr>
          <w:rFonts w:eastAsia="Batang"/>
          <w:sz w:val="20"/>
          <w:lang w:val="en-US" w:eastAsia="sv-SE"/>
        </w:rPr>
        <w:t>scheme with random backoff using a variable size of the contention window should be considered an alternative technical realization of that same principle, i.e. for an increasing channel load the LAA eNB will attempt fewer and fewer channel accesses over the observation period.</w:t>
      </w:r>
    </w:p>
    <w:p w14:paraId="62D9D600" w14:textId="77777777" w:rsidR="002B632B" w:rsidRDefault="002B632B" w:rsidP="002B632B">
      <w:pPr>
        <w:spacing w:after="180"/>
        <w:rPr>
          <w:rFonts w:eastAsia="Batang"/>
          <w:sz w:val="20"/>
          <w:lang w:val="en-US" w:eastAsia="sv-SE"/>
        </w:rPr>
      </w:pPr>
      <w:r w:rsidRPr="003C7B15">
        <w:rPr>
          <w:rFonts w:eastAsia="Batang"/>
          <w:sz w:val="20"/>
          <w:lang w:val="en-US" w:eastAsia="sv-SE"/>
        </w:rPr>
        <w:t xml:space="preserve">In our view, implementation freedom should be left to the eNB to adjust its channel access behavior and ensure fair coexistence with Wi-Fi neighbor BSSs as function of load and the particularities of a given deployment. The LAA eNB can make use of its own measurements and </w:t>
      </w:r>
      <w:r>
        <w:rPr>
          <w:rFonts w:eastAsia="Batang"/>
          <w:sz w:val="20"/>
          <w:lang w:val="en-US" w:eastAsia="sv-SE"/>
        </w:rPr>
        <w:t xml:space="preserve">also make use of </w:t>
      </w:r>
      <w:r w:rsidRPr="003C7B15">
        <w:rPr>
          <w:rFonts w:eastAsia="Batang"/>
          <w:sz w:val="20"/>
          <w:lang w:val="en-US" w:eastAsia="sv-SE"/>
        </w:rPr>
        <w:t>those reported back from LAA capable UEs.</w:t>
      </w:r>
    </w:p>
    <w:p w14:paraId="59F39777" w14:textId="09717B91" w:rsidR="002B632B" w:rsidRPr="003C7B15" w:rsidRDefault="002B632B" w:rsidP="002B632B">
      <w:pPr>
        <w:spacing w:after="180"/>
        <w:rPr>
          <w:rFonts w:eastAsia="Batang"/>
          <w:sz w:val="20"/>
          <w:lang w:val="en-US" w:eastAsia="sv-SE"/>
        </w:rPr>
      </w:pPr>
      <w:r>
        <w:rPr>
          <w:rFonts w:eastAsia="Batang"/>
          <w:sz w:val="20"/>
          <w:lang w:val="en-US" w:eastAsia="sv-SE"/>
        </w:rPr>
        <w:t xml:space="preserve">It is clear that relying on eNB side </w:t>
      </w:r>
      <w:r w:rsidR="00B46016">
        <w:rPr>
          <w:rFonts w:eastAsia="Batang"/>
          <w:sz w:val="20"/>
          <w:lang w:val="en-US" w:eastAsia="sv-SE"/>
        </w:rPr>
        <w:t>adjustments</w:t>
      </w:r>
      <w:r>
        <w:rPr>
          <w:rFonts w:eastAsia="Batang"/>
          <w:sz w:val="20"/>
          <w:lang w:val="en-US" w:eastAsia="sv-SE"/>
        </w:rPr>
        <w:t xml:space="preserve"> of multiple access behavior rather than an </w:t>
      </w:r>
      <w:r w:rsidR="00B46016">
        <w:rPr>
          <w:rFonts w:eastAsia="Batang"/>
          <w:sz w:val="20"/>
          <w:lang w:val="en-US" w:eastAsia="sv-SE"/>
        </w:rPr>
        <w:t>immutable</w:t>
      </w:r>
      <w:r>
        <w:rPr>
          <w:rFonts w:eastAsia="Batang"/>
          <w:sz w:val="20"/>
          <w:lang w:val="en-US" w:eastAsia="sv-SE"/>
        </w:rPr>
        <w:t xml:space="preserve"> and hard-coded Category 4 type of channel access </w:t>
      </w:r>
      <w:r w:rsidR="00B46016">
        <w:rPr>
          <w:rFonts w:eastAsia="Batang"/>
          <w:sz w:val="20"/>
          <w:lang w:val="en-US" w:eastAsia="sv-SE"/>
        </w:rPr>
        <w:t xml:space="preserve">scheme </w:t>
      </w:r>
      <w:r>
        <w:rPr>
          <w:rFonts w:eastAsia="Batang"/>
          <w:sz w:val="20"/>
          <w:lang w:val="en-US" w:eastAsia="sv-SE"/>
        </w:rPr>
        <w:t xml:space="preserve">is a more future-proof solution. LTE LAA like other wireless systems is deployed in different configurations which are subject to deployment constraints and vendor-specific optimizations greatly affecting spectral efficiency, i.e. different number of antennas, different combinations of supported transmission modes and different </w:t>
      </w:r>
      <w:r w:rsidR="00B46016">
        <w:rPr>
          <w:rFonts w:eastAsia="Batang"/>
          <w:sz w:val="20"/>
          <w:lang w:val="en-US" w:eastAsia="sv-SE"/>
        </w:rPr>
        <w:t>types of</w:t>
      </w:r>
      <w:r>
        <w:rPr>
          <w:rFonts w:eastAsia="Batang"/>
          <w:sz w:val="20"/>
          <w:lang w:val="en-US" w:eastAsia="sv-SE"/>
        </w:rPr>
        <w:t xml:space="preserve"> scheduling strategies. Similarly, it can be expected that LTE and Wi-Fi capabilities will evolve, implying that adjustability and fine-tuning of the multiple access scheme is best handled by the eNB subject to the radio environment observed in a particular deployment and as a function of observed load.</w:t>
      </w:r>
    </w:p>
    <w:p w14:paraId="0AE3DDE1" w14:textId="77777777" w:rsidR="003C7B15" w:rsidRPr="003C7B15" w:rsidRDefault="003C7B15" w:rsidP="003C7B15">
      <w:pPr>
        <w:spacing w:after="180"/>
        <w:rPr>
          <w:rFonts w:eastAsia="Batang"/>
          <w:sz w:val="20"/>
          <w:lang w:val="en-US" w:eastAsia="sv-SE"/>
        </w:rPr>
      </w:pPr>
      <w:r w:rsidRPr="003C7B15">
        <w:rPr>
          <w:rFonts w:eastAsia="Batang"/>
          <w:sz w:val="20"/>
          <w:lang w:val="en-US" w:eastAsia="sv-SE"/>
        </w:rPr>
        <w:t>Wi-Fi devices use a combination of CCA and a virtual carrier sensing mechanism for EDCA. CCA is done through a combination of L1 energy detection and preamble based signal detection. Virtual carrier sensing relies on the ability by a Wi-Fi STA to compute the duration of a frame exchange through reading the packet size and transmission rate fields in the L/HT/VHT-SIG headers of frames addressed to other STA’s or from RTS/CTS frame exchanges. Wi-Fi STAs will then defer any attempt for channel access until the end of the advertised duration of the ensuing frame exchange.</w:t>
      </w:r>
    </w:p>
    <w:p w14:paraId="62C3AAB2" w14:textId="77777777" w:rsidR="003C7B15" w:rsidRPr="003C7B15" w:rsidRDefault="003C7B15" w:rsidP="003C7B15">
      <w:pPr>
        <w:spacing w:after="180"/>
        <w:rPr>
          <w:rFonts w:eastAsia="Batang"/>
          <w:sz w:val="20"/>
          <w:lang w:val="en-US" w:eastAsia="sv-SE"/>
        </w:rPr>
      </w:pPr>
      <w:r w:rsidRPr="003C7B15">
        <w:rPr>
          <w:rFonts w:eastAsia="Batang"/>
          <w:sz w:val="20"/>
          <w:lang w:val="en-US" w:eastAsia="sv-SE"/>
        </w:rPr>
        <w:t>It is clear that signal detection based CCA implies the need for implementation of the 802.11a and 802.11n/ac OFDM channelization and resource mappings. Virtual carrier sense will in addition require the implementation of a significant portion of the Wi-Fi BB processing chain in order to decode PLCP and MAC packet headers.</w:t>
      </w:r>
    </w:p>
    <w:p w14:paraId="07786415" w14:textId="77777777" w:rsidR="003C7B15" w:rsidRPr="003C7B15" w:rsidRDefault="003C7B15" w:rsidP="003C7B15">
      <w:pPr>
        <w:spacing w:after="180"/>
        <w:rPr>
          <w:rFonts w:eastAsia="Batang"/>
          <w:sz w:val="20"/>
          <w:lang w:val="en-US" w:eastAsia="sv-SE"/>
        </w:rPr>
      </w:pPr>
      <w:r w:rsidRPr="003C7B15">
        <w:rPr>
          <w:rFonts w:eastAsia="Batang"/>
          <w:sz w:val="20"/>
          <w:lang w:val="en-US" w:eastAsia="sv-SE"/>
        </w:rPr>
        <w:t>It should not be assumed and it should not be a prerequisite for R13 LTE LAA operation that an LAA eNB implements Wi-Fi reception / transmission capability.</w:t>
      </w:r>
    </w:p>
    <w:p w14:paraId="30A41EF2" w14:textId="77777777" w:rsidR="003C7B15" w:rsidRPr="003C7B15" w:rsidRDefault="003C7B15" w:rsidP="003C7B15">
      <w:pPr>
        <w:spacing w:after="180"/>
        <w:rPr>
          <w:rFonts w:eastAsia="Batang"/>
          <w:sz w:val="20"/>
          <w:lang w:val="en-US" w:eastAsia="sv-SE"/>
        </w:rPr>
      </w:pPr>
      <w:r w:rsidRPr="003C7B15">
        <w:rPr>
          <w:rFonts w:eastAsia="Batang"/>
          <w:sz w:val="20"/>
          <w:lang w:val="en-US" w:eastAsia="sv-SE"/>
        </w:rPr>
        <w:t>It should be considered that LAA SCell transmission durations affect both LTE and Wi-Fi. The detrimental impact onto LTE throughput when using very short LTE transmission durations in the order of only 2-3 subframes in presence of Wi-Fi disappears for average LTE transmission periods larger than around 5 ms. On the other hand, the LAA SCell should operate on a timescale that still allows Wi-Fi transmitters to benefit fully from their allocated TXOP allocations with WMM or when using the frame aggregation features provided by 802.11n/ac.</w:t>
      </w:r>
    </w:p>
    <w:p w14:paraId="2343EEED" w14:textId="77777777" w:rsidR="003C7B15" w:rsidRPr="003C7B15" w:rsidRDefault="003C7B15" w:rsidP="003C7B15">
      <w:pPr>
        <w:spacing w:after="180"/>
        <w:rPr>
          <w:rFonts w:eastAsia="Batang"/>
          <w:sz w:val="20"/>
          <w:lang w:val="en-US" w:eastAsia="sv-SE"/>
        </w:rPr>
      </w:pPr>
      <w:r w:rsidRPr="003C7B15">
        <w:rPr>
          <w:rFonts w:eastAsia="Batang"/>
          <w:sz w:val="20"/>
          <w:lang w:val="en-US" w:eastAsia="sv-SE"/>
        </w:rPr>
        <w:t>For legacy 802.11a using only DCF, the maximum packet length as a function of the transmission rate could be up to 2.7ms. This value can become larger if WMM is implemented, i.e. when 802.11e TXOP’s are in use. For example, 802.11n frame aggregation features will extend maximum transmission durations up to around 5.3 ms.</w:t>
      </w:r>
    </w:p>
    <w:p w14:paraId="0031B8BE" w14:textId="77777777" w:rsidR="003C7B15" w:rsidRPr="003C7B15" w:rsidRDefault="003C7B15" w:rsidP="003C7B15">
      <w:pPr>
        <w:spacing w:after="180"/>
        <w:rPr>
          <w:rFonts w:eastAsia="Batang"/>
          <w:sz w:val="20"/>
          <w:lang w:val="en-US" w:eastAsia="sv-SE"/>
        </w:rPr>
      </w:pPr>
      <w:r w:rsidRPr="003C7B15">
        <w:rPr>
          <w:rFonts w:eastAsia="Batang"/>
          <w:sz w:val="20"/>
          <w:lang w:val="en-US" w:eastAsia="sv-SE"/>
        </w:rPr>
        <w:t>We think that the configuration of the maximum allowed LAA SCell transmit duration can be handled by eNB implementation subject to regulatory compliance and coexistence trade-offs. It is beneficial to use configurable maximum allowed consecutive LAA SCell transmit durations set by the eNB and made known to LAA capable UEs through RRC signaling in order to schedule measurements the transmit-off periods.</w:t>
      </w:r>
    </w:p>
    <w:p w14:paraId="0E88FECF" w14:textId="77777777" w:rsidR="003C7B15" w:rsidRPr="003C7B15" w:rsidRDefault="003C7B15" w:rsidP="003C7B15">
      <w:pPr>
        <w:spacing w:after="180"/>
        <w:rPr>
          <w:rFonts w:eastAsia="Batang"/>
          <w:sz w:val="20"/>
          <w:lang w:val="en-US" w:eastAsia="sv-SE"/>
        </w:rPr>
      </w:pPr>
      <w:r w:rsidRPr="003C7B15">
        <w:rPr>
          <w:rFonts w:eastAsia="Batang"/>
          <w:sz w:val="20"/>
          <w:lang w:val="en-US" w:eastAsia="sv-SE"/>
        </w:rPr>
        <w:t>In summary, the maximum LAA DL transmission periods will typically be limited to around 4-5 subframes using conservative configurations. Maximum transmit durations can be expected not to exceed 9-10 subframes and that only where regulatory requirements permit and only when RRM functionality in the LAA LTE eNB determines that fairness in terms of channel access considering deployed wireless systems in vicinity can be achieved.</w:t>
      </w:r>
    </w:p>
    <w:p w14:paraId="31CB27B8" w14:textId="77777777" w:rsidR="00A52F16" w:rsidRPr="00077CF3" w:rsidRDefault="00A52F16" w:rsidP="0011092E">
      <w:pPr>
        <w:rPr>
          <w:sz w:val="20"/>
          <w:lang w:val="en-US" w:eastAsia="sv-SE"/>
        </w:rPr>
      </w:pPr>
    </w:p>
    <w:p w14:paraId="5AD052BD" w14:textId="77777777" w:rsidR="00251B4A" w:rsidRPr="00077CF3" w:rsidRDefault="00251B4A" w:rsidP="00251B4A">
      <w:pPr>
        <w:pStyle w:val="Heading1"/>
        <w:spacing w:after="120"/>
        <w:rPr>
          <w:sz w:val="32"/>
          <w:lang w:val="en-US"/>
        </w:rPr>
      </w:pPr>
      <w:r w:rsidRPr="00077CF3">
        <w:rPr>
          <w:sz w:val="32"/>
          <w:lang w:val="en-US"/>
        </w:rPr>
        <w:t>Conclusion</w:t>
      </w:r>
    </w:p>
    <w:p w14:paraId="1B18D9B1" w14:textId="77777777" w:rsidR="00705639" w:rsidRPr="00076974" w:rsidRDefault="00705639" w:rsidP="00705639">
      <w:pPr>
        <w:rPr>
          <w:sz w:val="20"/>
        </w:rPr>
      </w:pPr>
      <w:r>
        <w:rPr>
          <w:sz w:val="20"/>
          <w:lang w:val="en-US"/>
        </w:rPr>
        <w:t>In this contribution we provide our views and recommendations on the principles for LAA DL transmission.</w:t>
      </w:r>
    </w:p>
    <w:p w14:paraId="6F4E459E" w14:textId="2364287B" w:rsidR="00A52F16" w:rsidRPr="00705639" w:rsidRDefault="00705639" w:rsidP="004048B5">
      <w:pPr>
        <w:rPr>
          <w:sz w:val="20"/>
          <w:lang w:eastAsia="sv-SE"/>
        </w:rPr>
      </w:pPr>
      <w:r>
        <w:rPr>
          <w:sz w:val="20"/>
          <w:lang w:eastAsia="sv-SE"/>
        </w:rPr>
        <w:t>In summary, we propose:</w:t>
      </w:r>
    </w:p>
    <w:p w14:paraId="710BAB0F" w14:textId="77777777" w:rsidR="00705639" w:rsidRPr="003C7B15" w:rsidRDefault="00705639" w:rsidP="00705639">
      <w:pPr>
        <w:spacing w:after="0"/>
        <w:rPr>
          <w:rFonts w:eastAsia="Batang"/>
          <w:b/>
          <w:sz w:val="20"/>
          <w:lang w:val="en-US" w:eastAsia="sv-SE"/>
        </w:rPr>
      </w:pPr>
      <w:r w:rsidRPr="003C7B15">
        <w:rPr>
          <w:rFonts w:eastAsia="Batang"/>
          <w:b/>
          <w:sz w:val="20"/>
          <w:lang w:val="en-US" w:eastAsia="sv-SE"/>
        </w:rPr>
        <w:t>Proposal 1:</w:t>
      </w:r>
    </w:p>
    <w:p w14:paraId="67AE4061" w14:textId="17CED503" w:rsidR="00705639" w:rsidRPr="003C7B15" w:rsidRDefault="00705639" w:rsidP="00705639">
      <w:pPr>
        <w:spacing w:after="180"/>
        <w:rPr>
          <w:rFonts w:eastAsia="Batang"/>
          <w:i/>
          <w:sz w:val="20"/>
          <w:lang w:val="en-US" w:eastAsia="sv-SE"/>
        </w:rPr>
      </w:pPr>
      <w:r w:rsidRPr="003C7B15">
        <w:rPr>
          <w:rFonts w:eastAsia="Batang"/>
          <w:i/>
          <w:sz w:val="20"/>
          <w:lang w:val="en-US" w:eastAsia="sv-SE"/>
        </w:rPr>
        <w:t xml:space="preserve">LAA DL transmissions </w:t>
      </w:r>
      <w:r>
        <w:rPr>
          <w:rFonts w:eastAsia="Batang"/>
          <w:i/>
          <w:sz w:val="20"/>
          <w:lang w:val="en-US" w:eastAsia="sv-SE"/>
        </w:rPr>
        <w:t xml:space="preserve">use </w:t>
      </w:r>
      <w:r w:rsidR="00B46016">
        <w:rPr>
          <w:rFonts w:eastAsia="Batang"/>
          <w:i/>
          <w:sz w:val="20"/>
          <w:lang w:val="en-US" w:eastAsia="sv-SE"/>
        </w:rPr>
        <w:t xml:space="preserve">a </w:t>
      </w:r>
      <w:r>
        <w:rPr>
          <w:rFonts w:eastAsia="Batang"/>
          <w:i/>
          <w:sz w:val="20"/>
          <w:lang w:val="en-US" w:eastAsia="sv-SE"/>
        </w:rPr>
        <w:t>Cat</w:t>
      </w:r>
      <w:r w:rsidR="00B46016">
        <w:rPr>
          <w:rFonts w:eastAsia="Batang"/>
          <w:i/>
          <w:sz w:val="20"/>
          <w:lang w:val="en-US" w:eastAsia="sv-SE"/>
        </w:rPr>
        <w:t>egory</w:t>
      </w:r>
      <w:r>
        <w:rPr>
          <w:rFonts w:eastAsia="Batang"/>
          <w:i/>
          <w:sz w:val="20"/>
          <w:lang w:val="en-US" w:eastAsia="sv-SE"/>
        </w:rPr>
        <w:t xml:space="preserve"> 3</w:t>
      </w:r>
      <w:r w:rsidR="00B46016">
        <w:rPr>
          <w:rFonts w:eastAsia="Batang"/>
          <w:i/>
          <w:sz w:val="20"/>
          <w:lang w:val="en-US" w:eastAsia="sv-SE"/>
        </w:rPr>
        <w:t xml:space="preserve"> channel access scheme (LBT with random backoff and a nominally fixed size contention window)</w:t>
      </w:r>
      <w:r>
        <w:rPr>
          <w:rFonts w:eastAsia="Batang"/>
          <w:i/>
          <w:sz w:val="20"/>
          <w:lang w:val="en-US" w:eastAsia="sv-SE"/>
        </w:rPr>
        <w:t>.</w:t>
      </w:r>
    </w:p>
    <w:p w14:paraId="22E8B2AA" w14:textId="77777777" w:rsidR="00705639" w:rsidRPr="003C7B15" w:rsidRDefault="00705639" w:rsidP="00705639">
      <w:pPr>
        <w:spacing w:after="0"/>
        <w:rPr>
          <w:rFonts w:eastAsia="Batang"/>
          <w:b/>
          <w:sz w:val="20"/>
          <w:lang w:val="en-US" w:eastAsia="sv-SE"/>
        </w:rPr>
      </w:pPr>
      <w:r w:rsidRPr="003C7B15">
        <w:rPr>
          <w:rFonts w:eastAsia="Batang"/>
          <w:b/>
          <w:sz w:val="20"/>
          <w:lang w:val="en-US" w:eastAsia="sv-SE"/>
        </w:rPr>
        <w:lastRenderedPageBreak/>
        <w:t>Proposal 2:</w:t>
      </w:r>
    </w:p>
    <w:p w14:paraId="541AED09" w14:textId="29442DA7" w:rsidR="00705639" w:rsidRDefault="00705639" w:rsidP="00705639">
      <w:pPr>
        <w:spacing w:after="180"/>
        <w:rPr>
          <w:rFonts w:eastAsia="Batang"/>
          <w:i/>
          <w:sz w:val="20"/>
          <w:lang w:val="en-US" w:eastAsia="sv-SE"/>
        </w:rPr>
      </w:pPr>
      <w:proofErr w:type="gramStart"/>
      <w:r w:rsidRPr="003C7B15">
        <w:rPr>
          <w:rFonts w:eastAsia="Batang"/>
          <w:i/>
          <w:sz w:val="20"/>
          <w:lang w:val="en-US" w:eastAsia="sv-SE"/>
        </w:rPr>
        <w:t>eNB</w:t>
      </w:r>
      <w:proofErr w:type="gramEnd"/>
      <w:r w:rsidRPr="003C7B15">
        <w:rPr>
          <w:rFonts w:eastAsia="Batang"/>
          <w:i/>
          <w:sz w:val="20"/>
          <w:lang w:val="en-US" w:eastAsia="sv-SE"/>
        </w:rPr>
        <w:t xml:space="preserve"> implementation-specific solutions</w:t>
      </w:r>
      <w:r>
        <w:rPr>
          <w:rFonts w:eastAsia="Batang"/>
          <w:i/>
          <w:sz w:val="20"/>
          <w:lang w:val="en-US" w:eastAsia="sv-SE"/>
        </w:rPr>
        <w:t>, i.e. freeze periods during LBT/CCA</w:t>
      </w:r>
      <w:r w:rsidRPr="003C7B15">
        <w:rPr>
          <w:rFonts w:eastAsia="Batang"/>
          <w:i/>
          <w:sz w:val="20"/>
          <w:lang w:val="en-US" w:eastAsia="sv-SE"/>
        </w:rPr>
        <w:t xml:space="preserve"> to </w:t>
      </w:r>
      <w:r>
        <w:rPr>
          <w:rFonts w:eastAsia="Batang"/>
          <w:i/>
          <w:sz w:val="20"/>
          <w:lang w:val="en-US" w:eastAsia="sv-SE"/>
        </w:rPr>
        <w:t xml:space="preserve">vary the </w:t>
      </w:r>
      <w:r w:rsidRPr="003C7B15">
        <w:rPr>
          <w:rFonts w:eastAsia="Batang"/>
          <w:i/>
          <w:sz w:val="20"/>
          <w:lang w:val="en-US" w:eastAsia="sv-SE"/>
        </w:rPr>
        <w:t>number of access attempts as a function of observed radio and traffic characteristics</w:t>
      </w:r>
      <w:r>
        <w:rPr>
          <w:rFonts w:eastAsia="Batang"/>
          <w:i/>
          <w:sz w:val="20"/>
          <w:lang w:val="en-US" w:eastAsia="sv-SE"/>
        </w:rPr>
        <w:t xml:space="preserve"> may be used with </w:t>
      </w:r>
      <w:r w:rsidR="00B46016">
        <w:rPr>
          <w:rFonts w:eastAsia="Batang"/>
          <w:i/>
          <w:sz w:val="20"/>
          <w:lang w:val="en-US" w:eastAsia="sv-SE"/>
        </w:rPr>
        <w:t xml:space="preserve">the </w:t>
      </w:r>
      <w:r>
        <w:rPr>
          <w:rFonts w:eastAsia="Batang"/>
          <w:i/>
          <w:sz w:val="20"/>
          <w:lang w:val="en-US" w:eastAsia="sv-SE"/>
        </w:rPr>
        <w:t>Cat</w:t>
      </w:r>
      <w:r w:rsidR="00B46016">
        <w:rPr>
          <w:rFonts w:eastAsia="Batang"/>
          <w:i/>
          <w:sz w:val="20"/>
          <w:lang w:val="en-US" w:eastAsia="sv-SE"/>
        </w:rPr>
        <w:t>egory</w:t>
      </w:r>
      <w:r>
        <w:rPr>
          <w:rFonts w:eastAsia="Batang"/>
          <w:i/>
          <w:sz w:val="20"/>
          <w:lang w:val="en-US" w:eastAsia="sv-SE"/>
        </w:rPr>
        <w:t xml:space="preserve"> 3</w:t>
      </w:r>
      <w:r w:rsidR="00B46016">
        <w:rPr>
          <w:rFonts w:eastAsia="Batang"/>
          <w:i/>
          <w:sz w:val="20"/>
          <w:lang w:val="en-US" w:eastAsia="sv-SE"/>
        </w:rPr>
        <w:t xml:space="preserve"> channel access scheme</w:t>
      </w:r>
      <w:r w:rsidRPr="003C7B15">
        <w:rPr>
          <w:rFonts w:eastAsia="Batang"/>
          <w:i/>
          <w:sz w:val="20"/>
          <w:lang w:val="en-US" w:eastAsia="sv-SE"/>
        </w:rPr>
        <w:t>.</w:t>
      </w:r>
    </w:p>
    <w:p w14:paraId="280464D6" w14:textId="77777777" w:rsidR="00705639" w:rsidRPr="003C7B15" w:rsidRDefault="00705639" w:rsidP="00705639">
      <w:pPr>
        <w:spacing w:after="0"/>
        <w:rPr>
          <w:rFonts w:eastAsia="Batang"/>
          <w:b/>
          <w:sz w:val="20"/>
          <w:lang w:val="en-US" w:eastAsia="sv-SE"/>
        </w:rPr>
      </w:pPr>
      <w:r>
        <w:rPr>
          <w:rFonts w:eastAsia="Batang"/>
          <w:b/>
          <w:sz w:val="20"/>
          <w:lang w:val="en-US" w:eastAsia="sv-SE"/>
        </w:rPr>
        <w:t>Proposal 3</w:t>
      </w:r>
      <w:r w:rsidRPr="003C7B15">
        <w:rPr>
          <w:rFonts w:eastAsia="Batang"/>
          <w:b/>
          <w:sz w:val="20"/>
          <w:lang w:val="en-US" w:eastAsia="sv-SE"/>
        </w:rPr>
        <w:t>:</w:t>
      </w:r>
    </w:p>
    <w:p w14:paraId="4B9D352A" w14:textId="77777777" w:rsidR="00705639" w:rsidRDefault="00705639" w:rsidP="00705639">
      <w:pPr>
        <w:spacing w:after="180"/>
        <w:rPr>
          <w:rFonts w:eastAsia="Batang"/>
          <w:i/>
          <w:sz w:val="20"/>
          <w:lang w:val="en-US" w:eastAsia="sv-SE"/>
        </w:rPr>
      </w:pPr>
      <w:r>
        <w:rPr>
          <w:rFonts w:eastAsia="Batang"/>
          <w:i/>
          <w:sz w:val="20"/>
          <w:lang w:val="en-US" w:eastAsia="sv-SE"/>
        </w:rPr>
        <w:t xml:space="preserve">The duration and maximum size of LAA DL TXOPs are configurable by the eNB subject to </w:t>
      </w:r>
      <w:bookmarkStart w:id="0" w:name="_GoBack"/>
      <w:bookmarkEnd w:id="0"/>
      <w:r>
        <w:rPr>
          <w:rFonts w:eastAsia="Batang"/>
          <w:i/>
          <w:sz w:val="20"/>
          <w:lang w:val="en-US" w:eastAsia="sv-SE"/>
        </w:rPr>
        <w:t>regulatory limits</w:t>
      </w:r>
      <w:r w:rsidRPr="003C7B15">
        <w:rPr>
          <w:rFonts w:eastAsia="Batang"/>
          <w:i/>
          <w:sz w:val="20"/>
          <w:lang w:val="en-US" w:eastAsia="sv-SE"/>
        </w:rPr>
        <w:t>.</w:t>
      </w:r>
    </w:p>
    <w:p w14:paraId="690D7AC6" w14:textId="77777777" w:rsidR="00705639" w:rsidRPr="003C7B15" w:rsidRDefault="00705639" w:rsidP="00705639">
      <w:pPr>
        <w:spacing w:after="0"/>
        <w:rPr>
          <w:rFonts w:eastAsia="Batang"/>
          <w:b/>
          <w:sz w:val="20"/>
          <w:lang w:val="en-US" w:eastAsia="sv-SE"/>
        </w:rPr>
      </w:pPr>
      <w:r w:rsidRPr="003C7B15">
        <w:rPr>
          <w:rFonts w:eastAsia="Batang"/>
          <w:b/>
          <w:sz w:val="20"/>
          <w:lang w:val="en-US" w:eastAsia="sv-SE"/>
        </w:rPr>
        <w:t xml:space="preserve">Proposal </w:t>
      </w:r>
      <w:r>
        <w:rPr>
          <w:rFonts w:eastAsia="Batang"/>
          <w:b/>
          <w:sz w:val="20"/>
          <w:lang w:val="en-US" w:eastAsia="sv-SE"/>
        </w:rPr>
        <w:t>4</w:t>
      </w:r>
      <w:r w:rsidRPr="003C7B15">
        <w:rPr>
          <w:rFonts w:eastAsia="Batang"/>
          <w:b/>
          <w:sz w:val="20"/>
          <w:lang w:val="en-US" w:eastAsia="sv-SE"/>
        </w:rPr>
        <w:t>:</w:t>
      </w:r>
    </w:p>
    <w:p w14:paraId="452BFB0F" w14:textId="77777777" w:rsidR="00705639" w:rsidRPr="004048B5" w:rsidRDefault="00705639" w:rsidP="00705639">
      <w:pPr>
        <w:spacing w:after="180"/>
        <w:rPr>
          <w:rFonts w:eastAsia="Batang"/>
          <w:sz w:val="20"/>
          <w:lang w:val="en-US" w:eastAsia="sv-SE"/>
        </w:rPr>
      </w:pPr>
      <w:r w:rsidRPr="003C7B15">
        <w:rPr>
          <w:rFonts w:eastAsia="Batang"/>
          <w:i/>
          <w:sz w:val="20"/>
          <w:lang w:val="en-US" w:eastAsia="sv-SE"/>
        </w:rPr>
        <w:t>It is not mandated that an LAA capable eNB or UE implements Wi-Fi reception capability</w:t>
      </w:r>
      <w:r w:rsidRPr="003C7B15">
        <w:rPr>
          <w:rFonts w:eastAsia="Batang"/>
          <w:sz w:val="20"/>
          <w:lang w:val="en-US" w:eastAsia="sv-SE"/>
        </w:rPr>
        <w:t>.</w:t>
      </w:r>
    </w:p>
    <w:p w14:paraId="5ABA5085" w14:textId="77777777" w:rsidR="004E45AE" w:rsidRPr="00077CF3" w:rsidRDefault="004E45AE" w:rsidP="004E45AE">
      <w:pPr>
        <w:rPr>
          <w:sz w:val="20"/>
          <w:lang w:val="en-US"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58C40046" w14:textId="77777777" w:rsidR="005E1BD0" w:rsidRPr="00396E2B" w:rsidRDefault="005E1BD0" w:rsidP="005E1BD0">
      <w:pPr>
        <w:pStyle w:val="Reference"/>
        <w:rPr>
          <w:sz w:val="20"/>
          <w:lang w:val="en-US"/>
        </w:rPr>
      </w:pPr>
      <w:r w:rsidRPr="00396E2B">
        <w:rPr>
          <w:sz w:val="20"/>
          <w:lang w:val="en-US"/>
        </w:rPr>
        <w:t xml:space="preserve">R1-151458 </w:t>
      </w:r>
      <w:r w:rsidRPr="00396E2B">
        <w:rPr>
          <w:i/>
          <w:sz w:val="20"/>
          <w:lang w:val="en-US"/>
        </w:rPr>
        <w:t>Coexistence evaluation results for DL+UL LAA and WiFi</w:t>
      </w:r>
      <w:r w:rsidRPr="00396E2B">
        <w:rPr>
          <w:sz w:val="20"/>
          <w:lang w:val="en-US"/>
        </w:rPr>
        <w:t>; InterDigital</w:t>
      </w:r>
    </w:p>
    <w:p w14:paraId="724B5D56" w14:textId="77777777" w:rsidR="005E1BD0" w:rsidRPr="00396E2B" w:rsidRDefault="005E1BD0" w:rsidP="005E1BD0">
      <w:pPr>
        <w:pStyle w:val="Reference"/>
        <w:rPr>
          <w:sz w:val="20"/>
          <w:lang w:val="en-US"/>
        </w:rPr>
      </w:pPr>
      <w:r w:rsidRPr="00396E2B">
        <w:rPr>
          <w:sz w:val="20"/>
          <w:lang w:val="en-US"/>
        </w:rPr>
        <w:t xml:space="preserve">R1-151459 </w:t>
      </w:r>
      <w:r w:rsidRPr="00396E2B">
        <w:rPr>
          <w:i/>
          <w:sz w:val="20"/>
          <w:lang w:val="en-US"/>
        </w:rPr>
        <w:t>UL transmission for LAA</w:t>
      </w:r>
      <w:r w:rsidRPr="00396E2B">
        <w:rPr>
          <w:sz w:val="20"/>
          <w:lang w:val="en-US"/>
        </w:rPr>
        <w:t>; InterDigital</w:t>
      </w:r>
    </w:p>
    <w:p w14:paraId="0C2C8446" w14:textId="77777777" w:rsidR="005E1BD0" w:rsidRPr="00396E2B" w:rsidRDefault="005E1BD0" w:rsidP="005E1BD0">
      <w:pPr>
        <w:pStyle w:val="Reference"/>
        <w:rPr>
          <w:sz w:val="20"/>
          <w:lang w:val="en-US"/>
        </w:rPr>
      </w:pPr>
      <w:r w:rsidRPr="00396E2B">
        <w:rPr>
          <w:sz w:val="20"/>
          <w:lang w:val="en-US"/>
        </w:rPr>
        <w:t xml:space="preserve">R1-151936 </w:t>
      </w:r>
      <w:r w:rsidRPr="00396E2B">
        <w:rPr>
          <w:i/>
          <w:sz w:val="20"/>
          <w:lang w:val="en-US"/>
        </w:rPr>
        <w:t>UL HARQ operation for LAA</w:t>
      </w:r>
      <w:r w:rsidRPr="00396E2B">
        <w:rPr>
          <w:sz w:val="20"/>
          <w:lang w:val="en-US"/>
        </w:rPr>
        <w:t>; InterDigital</w:t>
      </w:r>
    </w:p>
    <w:p w14:paraId="22DB183F" w14:textId="77777777" w:rsidR="005E1BD0" w:rsidRPr="00396E2B" w:rsidRDefault="005E1BD0" w:rsidP="005E1BD0">
      <w:pPr>
        <w:pStyle w:val="Reference"/>
        <w:rPr>
          <w:sz w:val="20"/>
          <w:lang w:val="fr-CA"/>
        </w:rPr>
      </w:pPr>
      <w:r w:rsidRPr="00396E2B">
        <w:rPr>
          <w:sz w:val="20"/>
          <w:lang w:val="fr-CA"/>
        </w:rPr>
        <w:t xml:space="preserve">R1-152134 </w:t>
      </w:r>
      <w:r w:rsidRPr="00396E2B">
        <w:rPr>
          <w:i/>
          <w:sz w:val="20"/>
          <w:lang w:val="fr-CA"/>
        </w:rPr>
        <w:t>LAA frame structure</w:t>
      </w:r>
      <w:r w:rsidRPr="00396E2B">
        <w:rPr>
          <w:sz w:val="20"/>
          <w:lang w:val="fr-CA"/>
        </w:rPr>
        <w:t>; InterDigital</w:t>
      </w:r>
    </w:p>
    <w:p w14:paraId="1067212E" w14:textId="77777777" w:rsidR="006F56F5" w:rsidRPr="00077CF3" w:rsidRDefault="006F56F5" w:rsidP="006F56F5">
      <w:pPr>
        <w:pStyle w:val="Reference"/>
        <w:rPr>
          <w:sz w:val="20"/>
          <w:lang w:val="en-US"/>
        </w:rPr>
      </w:pPr>
      <w:r w:rsidRPr="00077CF3">
        <w:rPr>
          <w:sz w:val="20"/>
          <w:lang w:val="en-US"/>
        </w:rPr>
        <w:t xml:space="preserve">R1-151068 </w:t>
      </w:r>
      <w:r w:rsidRPr="00077CF3">
        <w:rPr>
          <w:i/>
          <w:sz w:val="20"/>
          <w:lang w:val="en-US"/>
        </w:rPr>
        <w:t>Design considerations on LTE LAA DL and UL operation</w:t>
      </w:r>
      <w:r w:rsidRPr="00077CF3">
        <w:rPr>
          <w:sz w:val="20"/>
          <w:lang w:val="en-US"/>
        </w:rPr>
        <w:t xml:space="preserve">; InterDigital </w:t>
      </w:r>
    </w:p>
    <w:p w14:paraId="0EEFB2FE" w14:textId="15E3EB14" w:rsidR="003D41C3" w:rsidRDefault="003D41C3" w:rsidP="003D41C3">
      <w:pPr>
        <w:pStyle w:val="Reference"/>
        <w:rPr>
          <w:sz w:val="20"/>
          <w:lang w:val="en-US"/>
        </w:rPr>
      </w:pPr>
      <w:r>
        <w:rPr>
          <w:sz w:val="20"/>
          <w:lang w:val="en-US"/>
        </w:rPr>
        <w:t xml:space="preserve">R1-151066 </w:t>
      </w:r>
      <w:r w:rsidRPr="003D41C3">
        <w:rPr>
          <w:i/>
          <w:sz w:val="20"/>
          <w:lang w:val="en-US"/>
        </w:rPr>
        <w:t>Coexistence evaluation results for LTE LAA DL-only and Wi-Fi</w:t>
      </w:r>
      <w:r>
        <w:rPr>
          <w:sz w:val="20"/>
          <w:lang w:val="en-US"/>
        </w:rPr>
        <w:t>; InterDigital</w:t>
      </w:r>
    </w:p>
    <w:p w14:paraId="4DF0D820" w14:textId="25799F63" w:rsidR="001D36A9" w:rsidRPr="00077CF3" w:rsidRDefault="00C77624" w:rsidP="001D36A9">
      <w:pPr>
        <w:pStyle w:val="Reference"/>
        <w:ind w:left="562" w:hanging="562"/>
        <w:rPr>
          <w:sz w:val="20"/>
          <w:lang w:val="en-US"/>
        </w:rPr>
      </w:pPr>
      <w:r w:rsidRPr="00077CF3">
        <w:rPr>
          <w:sz w:val="20"/>
          <w:lang w:val="en-US"/>
        </w:rPr>
        <w:t>R1-1505</w:t>
      </w:r>
      <w:r w:rsidR="001D36A9" w:rsidRPr="00077CF3">
        <w:rPr>
          <w:sz w:val="20"/>
          <w:lang w:val="en-US"/>
        </w:rPr>
        <w:t xml:space="preserve">41 </w:t>
      </w:r>
      <w:r w:rsidR="001D36A9" w:rsidRPr="00077CF3">
        <w:rPr>
          <w:i/>
          <w:sz w:val="20"/>
          <w:lang w:val="en-US"/>
        </w:rPr>
        <w:t>Design considerations on LTE LAA DL+UL mode</w:t>
      </w:r>
      <w:r w:rsidR="006F56F5">
        <w:rPr>
          <w:sz w:val="20"/>
          <w:lang w:val="en-US"/>
        </w:rPr>
        <w:t>; InterD</w:t>
      </w:r>
      <w:r w:rsidR="001D36A9" w:rsidRPr="00077CF3">
        <w:rPr>
          <w:sz w:val="20"/>
          <w:lang w:val="en-US"/>
        </w:rPr>
        <w:t>igital</w:t>
      </w:r>
    </w:p>
    <w:p w14:paraId="2BA0166C" w14:textId="77777777" w:rsidR="007362DB" w:rsidRPr="00077CF3" w:rsidRDefault="007362DB" w:rsidP="001D36A9">
      <w:pPr>
        <w:pStyle w:val="Reference"/>
        <w:ind w:left="562" w:hanging="562"/>
        <w:rPr>
          <w:sz w:val="20"/>
          <w:lang w:val="en-US"/>
        </w:rPr>
      </w:pPr>
      <w:r w:rsidRPr="00077CF3">
        <w:rPr>
          <w:sz w:val="20"/>
          <w:lang w:val="en-US"/>
        </w:rPr>
        <w:t xml:space="preserve">R1-145186 </w:t>
      </w:r>
      <w:r w:rsidRPr="00077CF3">
        <w:rPr>
          <w:i/>
          <w:sz w:val="20"/>
          <w:lang w:val="en-US"/>
        </w:rPr>
        <w:t>On the need to model RTS/CTS in LAA coexistence scenarios</w:t>
      </w:r>
      <w:r w:rsidRPr="00077CF3">
        <w:rPr>
          <w:sz w:val="20"/>
          <w:lang w:val="en-US"/>
        </w:rPr>
        <w:t>; InterDigital</w:t>
      </w:r>
    </w:p>
    <w:p w14:paraId="0DC13771" w14:textId="655408A9" w:rsidR="003D41C3" w:rsidRPr="003D41C3" w:rsidRDefault="003D41C3" w:rsidP="003D41C3">
      <w:pPr>
        <w:pStyle w:val="Reference"/>
        <w:ind w:left="562" w:hanging="562"/>
        <w:rPr>
          <w:sz w:val="20"/>
          <w:lang w:val="en-US"/>
        </w:rPr>
      </w:pPr>
      <w:r w:rsidRPr="00077CF3">
        <w:rPr>
          <w:sz w:val="20"/>
          <w:lang w:val="en-US"/>
        </w:rPr>
        <w:t xml:space="preserve">3GPP TR 36.889 v031 </w:t>
      </w:r>
      <w:r w:rsidRPr="00077CF3">
        <w:rPr>
          <w:i/>
          <w:sz w:val="20"/>
          <w:lang w:val="en-US"/>
        </w:rPr>
        <w:t>Feasibility</w:t>
      </w:r>
      <w:r w:rsidRPr="00077CF3">
        <w:rPr>
          <w:sz w:val="20"/>
          <w:lang w:val="en-US"/>
        </w:rPr>
        <w:t xml:space="preserve"> </w:t>
      </w:r>
      <w:r w:rsidRPr="00077CF3">
        <w:rPr>
          <w:i/>
          <w:sz w:val="20"/>
          <w:lang w:val="en-US"/>
        </w:rPr>
        <w:t>Study on License-Assisted Access to Unlicensed Spectrum</w:t>
      </w:r>
      <w:r w:rsidRPr="00077CF3">
        <w:rPr>
          <w:sz w:val="20"/>
          <w:lang w:val="en-US"/>
        </w:rPr>
        <w:t xml:space="preserve"> (R13)</w:t>
      </w:r>
    </w:p>
    <w:sectPr w:rsidR="003D41C3" w:rsidRPr="003D41C3" w:rsidSect="00D55085">
      <w:headerReference w:type="even" r:id="rId13"/>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D3D2D" w14:textId="77777777" w:rsidR="00313DFC" w:rsidRDefault="00313DFC">
      <w:r>
        <w:separator/>
      </w:r>
    </w:p>
  </w:endnote>
  <w:endnote w:type="continuationSeparator" w:id="0">
    <w:p w14:paraId="75032B7D" w14:textId="77777777" w:rsidR="00313DFC" w:rsidRDefault="00313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4601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6016">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B46016">
      <w:rPr>
        <w:rStyle w:val="PageNumber"/>
      </w:rPr>
      <w:t>2015-04-10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8DE93" w14:textId="77777777" w:rsidR="00313DFC" w:rsidRDefault="00313DFC">
      <w:r>
        <w:separator/>
      </w:r>
    </w:p>
  </w:footnote>
  <w:footnote w:type="continuationSeparator" w:id="0">
    <w:p w14:paraId="039EC8E1" w14:textId="77777777" w:rsidR="00313DFC" w:rsidRDefault="00313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9">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3"/>
  </w:num>
  <w:num w:numId="4">
    <w:abstractNumId w:val="14"/>
  </w:num>
  <w:num w:numId="5">
    <w:abstractNumId w:val="9"/>
  </w:num>
  <w:num w:numId="6">
    <w:abstractNumId w:val="17"/>
  </w:num>
  <w:num w:numId="7">
    <w:abstractNumId w:val="24"/>
  </w:num>
  <w:num w:numId="8">
    <w:abstractNumId w:val="10"/>
  </w:num>
  <w:num w:numId="9">
    <w:abstractNumId w:val="33"/>
  </w:num>
  <w:num w:numId="10">
    <w:abstractNumId w:val="27"/>
  </w:num>
  <w:num w:numId="11">
    <w:abstractNumId w:val="34"/>
  </w:num>
  <w:num w:numId="12">
    <w:abstractNumId w:val="4"/>
  </w:num>
  <w:num w:numId="13">
    <w:abstractNumId w:val="6"/>
  </w:num>
  <w:num w:numId="14">
    <w:abstractNumId w:val="16"/>
  </w:num>
  <w:num w:numId="15">
    <w:abstractNumId w:val="28"/>
  </w:num>
  <w:num w:numId="16">
    <w:abstractNumId w:val="5"/>
  </w:num>
  <w:num w:numId="17">
    <w:abstractNumId w:val="2"/>
  </w:num>
  <w:num w:numId="18">
    <w:abstractNumId w:val="8"/>
  </w:num>
  <w:num w:numId="19">
    <w:abstractNumId w:val="25"/>
  </w:num>
  <w:num w:numId="20">
    <w:abstractNumId w:val="19"/>
  </w:num>
  <w:num w:numId="21">
    <w:abstractNumId w:val="22"/>
  </w:num>
  <w:num w:numId="22">
    <w:abstractNumId w:val="30"/>
  </w:num>
  <w:num w:numId="23">
    <w:abstractNumId w:val="3"/>
  </w:num>
  <w:num w:numId="24">
    <w:abstractNumId w:val="29"/>
  </w:num>
  <w:num w:numId="25">
    <w:abstractNumId w:val="35"/>
  </w:num>
  <w:num w:numId="26">
    <w:abstractNumId w:val="15"/>
  </w:num>
  <w:num w:numId="27">
    <w:abstractNumId w:val="31"/>
  </w:num>
  <w:num w:numId="28">
    <w:abstractNumId w:val="21"/>
  </w:num>
  <w:num w:numId="29">
    <w:abstractNumId w:val="1"/>
  </w:num>
  <w:num w:numId="30">
    <w:abstractNumId w:val="1"/>
  </w:num>
  <w:num w:numId="31">
    <w:abstractNumId w:val="26"/>
  </w:num>
  <w:num w:numId="32">
    <w:abstractNumId w:val="18"/>
  </w:num>
  <w:num w:numId="33">
    <w:abstractNumId w:val="7"/>
  </w:num>
  <w:num w:numId="34">
    <w:abstractNumId w:val="36"/>
  </w:num>
  <w:num w:numId="35">
    <w:abstractNumId w:val="32"/>
  </w:num>
  <w:num w:numId="36">
    <w:abstractNumId w:val="0"/>
  </w:num>
  <w:num w:numId="37">
    <w:abstractNumId w:val="20"/>
  </w:num>
  <w:num w:numId="38">
    <w:abstractNumId w:val="23"/>
  </w:num>
  <w:num w:numId="39">
    <w:abstractNumId w:val="12"/>
  </w:num>
  <w:num w:numId="4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2F2"/>
    <w:rsid w:val="00215423"/>
    <w:rsid w:val="002158FA"/>
    <w:rsid w:val="00215D3F"/>
    <w:rsid w:val="00215F14"/>
    <w:rsid w:val="002160C0"/>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32B"/>
    <w:rsid w:val="002B6D00"/>
    <w:rsid w:val="002B77BF"/>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3DFC"/>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C7B15"/>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1BD0"/>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639"/>
    <w:rsid w:val="00705BC2"/>
    <w:rsid w:val="00705F8A"/>
    <w:rsid w:val="00706101"/>
    <w:rsid w:val="0070666D"/>
    <w:rsid w:val="00706B8A"/>
    <w:rsid w:val="00706DF5"/>
    <w:rsid w:val="00706FAA"/>
    <w:rsid w:val="0070766F"/>
    <w:rsid w:val="00707ADF"/>
    <w:rsid w:val="00707D61"/>
    <w:rsid w:val="007114F1"/>
    <w:rsid w:val="007118CA"/>
    <w:rsid w:val="00711D31"/>
    <w:rsid w:val="00712287"/>
    <w:rsid w:val="00712772"/>
    <w:rsid w:val="007148D3"/>
    <w:rsid w:val="0071551B"/>
    <w:rsid w:val="00715638"/>
    <w:rsid w:val="00715A32"/>
    <w:rsid w:val="00715B9A"/>
    <w:rsid w:val="0071600C"/>
    <w:rsid w:val="007161DA"/>
    <w:rsid w:val="007163B5"/>
    <w:rsid w:val="00716C3F"/>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4D6"/>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A52"/>
    <w:rsid w:val="00B46016"/>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7B1"/>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0C4E"/>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6D7"/>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48141EAE-4CF4-400C-A3A7-C3890E4EE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143</TotalTime>
  <Pages>3</Pages>
  <Words>1189</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7952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27</cp:revision>
  <cp:lastPrinted>2014-08-07T20:35:00Z</cp:lastPrinted>
  <dcterms:created xsi:type="dcterms:W3CDTF">2015-04-08T21:10:00Z</dcterms:created>
  <dcterms:modified xsi:type="dcterms:W3CDTF">2015-04-10T23:38:00Z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